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rPr>
      </w:pPr>
      <w:r>
        <w:rPr>
          <w:b/>
          <w:color w:val="000000"/>
        </w:rPr>
        <w:t xml:space="preserve">Society for Research in Psychopathology </w:t>
      </w:r>
    </w:p>
    <w:p>
      <w:pPr>
        <w:pStyle w:val="Normal"/>
        <w:jc w:val="center"/>
        <w:rPr>
          <w:b/>
          <w:b/>
          <w:color w:val="000000"/>
        </w:rPr>
      </w:pPr>
      <w:r>
        <w:rPr>
          <w:b/>
          <w:color w:val="000000"/>
        </w:rPr>
        <w:t>President’s Award 2018</w:t>
      </w:r>
    </w:p>
    <w:p>
      <w:pPr>
        <w:pStyle w:val="Normal"/>
        <w:jc w:val="center"/>
        <w:rPr>
          <w:b/>
          <w:b/>
          <w:color w:val="000000"/>
        </w:rPr>
      </w:pPr>
      <w:r>
        <w:rPr>
          <w:b/>
          <w:color w:val="000000"/>
        </w:rPr>
        <w:t>Call for Applications</w:t>
      </w:r>
    </w:p>
    <w:p>
      <w:pPr>
        <w:pStyle w:val="Normal"/>
        <w:rPr>
          <w:b/>
          <w:b/>
          <w:color w:val="000000"/>
        </w:rPr>
      </w:pPr>
      <w:r>
        <w:rPr>
          <w:b/>
          <w:color w:val="000000"/>
        </w:rPr>
      </w:r>
    </w:p>
    <w:tbl>
      <w:tblPr>
        <w:tblW w:w="9378" w:type="dxa"/>
        <w:jc w:val="left"/>
        <w:tblInd w:w="0" w:type="dxa"/>
        <w:tblBorders>
          <w:top w:val="double" w:sz="4" w:space="0" w:color="000001"/>
          <w:bottom w:val="single" w:sz="4" w:space="0" w:color="000001"/>
          <w:insideH w:val="single" w:sz="4" w:space="0" w:color="000001"/>
        </w:tblBorders>
        <w:tblCellMar>
          <w:top w:w="0" w:type="dxa"/>
          <w:left w:w="108" w:type="dxa"/>
          <w:bottom w:w="0" w:type="dxa"/>
          <w:right w:w="108" w:type="dxa"/>
        </w:tblCellMar>
      </w:tblPr>
      <w:tblGrid>
        <w:gridCol w:w="1908"/>
        <w:gridCol w:w="7469"/>
      </w:tblGrid>
      <w:tr>
        <w:trPr/>
        <w:tc>
          <w:tcPr>
            <w:tcW w:w="1908" w:type="dxa"/>
            <w:tcBorders>
              <w:top w:val="double" w:sz="4" w:space="0" w:color="000001"/>
              <w:bottom w:val="single" w:sz="4" w:space="0" w:color="000001"/>
              <w:insideH w:val="single" w:sz="4" w:space="0" w:color="000001"/>
            </w:tcBorders>
            <w:shd w:fill="auto" w:val="clear"/>
          </w:tcPr>
          <w:p>
            <w:pPr>
              <w:pStyle w:val="Normal"/>
              <w:spacing w:before="240" w:after="240"/>
              <w:rPr>
                <w:b/>
                <w:b/>
                <w:color w:val="000000"/>
              </w:rPr>
            </w:pPr>
            <w:r>
              <w:rPr>
                <w:b/>
                <w:color w:val="000000"/>
              </w:rPr>
              <w:t>Objective</w:t>
            </w:r>
          </w:p>
        </w:tc>
        <w:tc>
          <w:tcPr>
            <w:tcW w:w="7469" w:type="dxa"/>
            <w:tcBorders>
              <w:top w:val="double" w:sz="4" w:space="0" w:color="000001"/>
              <w:bottom w:val="single" w:sz="4" w:space="0" w:color="000001"/>
              <w:insideH w:val="single" w:sz="4" w:space="0" w:color="000001"/>
            </w:tcBorders>
            <w:shd w:fill="auto" w:val="clear"/>
          </w:tcPr>
          <w:p>
            <w:pPr>
              <w:pStyle w:val="Normal"/>
              <w:spacing w:before="240" w:after="240"/>
              <w:rPr>
                <w:color w:val="000000"/>
              </w:rPr>
            </w:pPr>
            <w:r>
              <w:rPr/>
              <w:t xml:space="preserve">SRP offers three President’s Awards to qualified applicants. These awards are intended to encourage and facilitate the participation of young scholars from diverse backgrounds and from groups that are traditionally underrepresented in the society to join the organization and to participate in and present at SRP’s annual convention.  </w:t>
            </w:r>
          </w:p>
        </w:tc>
      </w:tr>
      <w:tr>
        <w:trPr/>
        <w:tc>
          <w:tcPr>
            <w:tcW w:w="1908" w:type="dxa"/>
            <w:tcBorders>
              <w:top w:val="single" w:sz="4" w:space="0" w:color="000001"/>
              <w:bottom w:val="single" w:sz="4" w:space="0" w:color="000001"/>
              <w:insideH w:val="single" w:sz="4" w:space="0" w:color="000001"/>
            </w:tcBorders>
            <w:shd w:fill="auto" w:val="clear"/>
          </w:tcPr>
          <w:p>
            <w:pPr>
              <w:pStyle w:val="Normal"/>
              <w:spacing w:before="240" w:after="240"/>
              <w:rPr>
                <w:b/>
                <w:b/>
                <w:color w:val="000000"/>
              </w:rPr>
            </w:pPr>
            <w:r>
              <w:rPr>
                <w:b/>
                <w:color w:val="000000"/>
              </w:rPr>
              <w:t>Eligibility</w:t>
            </w:r>
          </w:p>
        </w:tc>
        <w:tc>
          <w:tcPr>
            <w:tcW w:w="7469" w:type="dxa"/>
            <w:tcBorders>
              <w:top w:val="single" w:sz="4" w:space="0" w:color="000001"/>
              <w:bottom w:val="single" w:sz="4" w:space="0" w:color="000001"/>
              <w:insideH w:val="single" w:sz="4" w:space="0" w:color="000001"/>
            </w:tcBorders>
            <w:shd w:fill="auto" w:val="clear"/>
          </w:tcPr>
          <w:p>
            <w:pPr>
              <w:pStyle w:val="Normal"/>
              <w:rPr/>
            </w:pPr>
            <w:r>
              <w:rPr/>
              <w:t xml:space="preserve">Candidates must either be members of SRP or must apply for membership if given an award. Candidates are also required to present at the meeting. </w:t>
            </w:r>
          </w:p>
          <w:p>
            <w:pPr>
              <w:pStyle w:val="Normal"/>
              <w:rPr/>
            </w:pPr>
            <w:r>
              <w:rPr/>
            </w:r>
          </w:p>
          <w:p>
            <w:pPr>
              <w:pStyle w:val="Normal"/>
              <w:rPr/>
            </w:pPr>
            <w:r>
              <w:rPr/>
              <w:t>Further, they must be:</w:t>
            </w:r>
          </w:p>
          <w:p>
            <w:pPr>
              <w:pStyle w:val="Normal"/>
              <w:numPr>
                <w:ilvl w:val="0"/>
                <w:numId w:val="1"/>
              </w:numPr>
              <w:spacing w:lineRule="auto" w:line="276" w:before="0" w:after="200"/>
              <w:contextualSpacing/>
              <w:rPr/>
            </w:pPr>
            <w:r>
              <w:rPr/>
              <w:t xml:space="preserve">From a group that is traditionally underrepresented in SRP. Note that an applicant can fulfill this criterion in many ways. Examples include being from a racial/ethnic minority group that is traditionally underrepresented at SRP (e.g., African-American/Black, Hispanic/Latino, Native American, Native Hawaiian/Pacific Islander, or Alaska Native), being a first-generation college student, or being a student with disabilities. </w:t>
            </w:r>
          </w:p>
          <w:p>
            <w:pPr>
              <w:pStyle w:val="Normal"/>
              <w:numPr>
                <w:ilvl w:val="0"/>
                <w:numId w:val="1"/>
              </w:numPr>
              <w:spacing w:lineRule="auto" w:line="276" w:before="0" w:after="200"/>
              <w:contextualSpacing/>
              <w:rPr/>
            </w:pPr>
            <w:r>
              <w:rPr/>
              <w:t>Full-time graduate students, postdoctoral fellows, or post-baccalaureate research associates.</w:t>
            </w:r>
          </w:p>
        </w:tc>
      </w:tr>
      <w:tr>
        <w:trPr/>
        <w:tc>
          <w:tcPr>
            <w:tcW w:w="1908" w:type="dxa"/>
            <w:tcBorders>
              <w:top w:val="single" w:sz="4" w:space="0" w:color="000001"/>
              <w:bottom w:val="single" w:sz="4" w:space="0" w:color="000001"/>
              <w:insideH w:val="single" w:sz="4" w:space="0" w:color="000001"/>
            </w:tcBorders>
            <w:shd w:fill="auto" w:val="clear"/>
          </w:tcPr>
          <w:p>
            <w:pPr>
              <w:pStyle w:val="Normal"/>
              <w:spacing w:before="240" w:after="240"/>
              <w:rPr>
                <w:b/>
                <w:b/>
                <w:color w:val="000000"/>
              </w:rPr>
            </w:pPr>
            <w:r>
              <w:rPr>
                <w:b/>
                <w:color w:val="000000"/>
              </w:rPr>
              <w:t>Application</w:t>
            </w:r>
          </w:p>
        </w:tc>
        <w:tc>
          <w:tcPr>
            <w:tcW w:w="7469" w:type="dxa"/>
            <w:tcBorders>
              <w:top w:val="single" w:sz="4" w:space="0" w:color="000001"/>
              <w:bottom w:val="single" w:sz="4" w:space="0" w:color="000001"/>
              <w:insideH w:val="single" w:sz="4" w:space="0" w:color="000001"/>
            </w:tcBorders>
            <w:shd w:fill="auto" w:val="clear"/>
          </w:tcPr>
          <w:p>
            <w:pPr>
              <w:pStyle w:val="Normal"/>
              <w:rPr/>
            </w:pPr>
            <w:r>
              <w:rPr/>
              <w:t xml:space="preserve">Please submit the award facesheet, a CV, a one-page research statement, and the abstract for the presentation submitted for this year’s meeting to </w:t>
            </w:r>
            <w:r>
              <w:rPr>
                <w:rFonts w:cs="Arial"/>
              </w:rPr>
              <w:t>Aprajita Mohanty</w:t>
            </w:r>
            <w:r>
              <w:rPr/>
              <w:t xml:space="preserve"> (</w:t>
            </w:r>
            <w:r>
              <w:rPr>
                <w:color w:val="333333"/>
                <w:shd w:fill="FFFFFF" w:val="clear"/>
              </w:rPr>
              <w:t>aprajita.mohanty@stonybrook.edu</w:t>
            </w:r>
            <w:r>
              <w:rPr/>
              <w:t xml:space="preserve">). </w:t>
            </w:r>
          </w:p>
          <w:p>
            <w:pPr>
              <w:pStyle w:val="Normal"/>
              <w:rPr/>
            </w:pPr>
            <w:r>
              <w:rPr/>
            </w:r>
          </w:p>
          <w:p>
            <w:pPr>
              <w:pStyle w:val="Normal"/>
              <w:rPr/>
            </w:pPr>
            <w:r>
              <w:rPr/>
              <w:t>Award applications are due at the same time as submissions to the annual meeting (04/</w:t>
            </w:r>
            <w:r>
              <w:rPr/>
              <w:t>14</w:t>
            </w:r>
            <w:r>
              <w:rPr/>
              <w:t>/2018), and awards are contingent on acceptance of the submission. Award notifications will be send out by 06/30/2018.</w:t>
            </w:r>
          </w:p>
          <w:p>
            <w:pPr>
              <w:pStyle w:val="Normal"/>
              <w:rPr/>
            </w:pPr>
            <w:r>
              <w:rPr/>
              <w:t>There is a limit of one award per person.</w:t>
            </w:r>
          </w:p>
        </w:tc>
      </w:tr>
      <w:tr>
        <w:trPr/>
        <w:tc>
          <w:tcPr>
            <w:tcW w:w="1908" w:type="dxa"/>
            <w:tcBorders>
              <w:top w:val="single" w:sz="4" w:space="0" w:color="000001"/>
              <w:bottom w:val="single" w:sz="4" w:space="0" w:color="000001"/>
              <w:insideH w:val="single" w:sz="4" w:space="0" w:color="000001"/>
            </w:tcBorders>
            <w:shd w:fill="auto" w:val="clear"/>
          </w:tcPr>
          <w:p>
            <w:pPr>
              <w:pStyle w:val="Normal"/>
              <w:spacing w:before="240" w:after="240"/>
              <w:rPr>
                <w:b/>
                <w:b/>
                <w:color w:val="000000"/>
              </w:rPr>
            </w:pPr>
            <w:r>
              <w:rPr>
                <w:b/>
                <w:color w:val="000000"/>
              </w:rPr>
              <w:t>Award</w:t>
            </w:r>
          </w:p>
        </w:tc>
        <w:tc>
          <w:tcPr>
            <w:tcW w:w="7469" w:type="dxa"/>
            <w:tcBorders>
              <w:top w:val="single" w:sz="4" w:space="0" w:color="000001"/>
              <w:bottom w:val="single" w:sz="4" w:space="0" w:color="000001"/>
              <w:insideH w:val="single" w:sz="4" w:space="0" w:color="000001"/>
            </w:tcBorders>
            <w:shd w:fill="auto" w:val="clear"/>
          </w:tcPr>
          <w:p>
            <w:pPr>
              <w:pStyle w:val="Normal"/>
              <w:rPr/>
            </w:pPr>
            <w:r>
              <w:rPr/>
              <w:t xml:space="preserve">The Award consists of free registration for the annual meeting, free membership for the year in which the award is given, and up to $1000 to offset travel and accommodation expenses. </w:t>
            </w:r>
          </w:p>
          <w:p>
            <w:pPr>
              <w:pStyle w:val="Normal"/>
              <w:rPr>
                <w:color w:val="000000"/>
              </w:rPr>
            </w:pPr>
            <w:r>
              <w:rPr>
                <w:color w:val="000000"/>
              </w:rPr>
            </w:r>
          </w:p>
        </w:tc>
      </w:tr>
      <w:tr>
        <w:trPr/>
        <w:tc>
          <w:tcPr>
            <w:tcW w:w="1908" w:type="dxa"/>
            <w:tcBorders>
              <w:top w:val="single" w:sz="4" w:space="0" w:color="000001"/>
              <w:bottom w:val="single" w:sz="4" w:space="0" w:color="000001"/>
              <w:insideH w:val="single" w:sz="4" w:space="0" w:color="000001"/>
            </w:tcBorders>
            <w:shd w:fill="auto" w:val="clear"/>
          </w:tcPr>
          <w:p>
            <w:pPr>
              <w:pStyle w:val="Normal"/>
              <w:spacing w:before="240" w:after="240"/>
              <w:rPr>
                <w:b/>
                <w:b/>
                <w:color w:val="000000"/>
              </w:rPr>
            </w:pPr>
            <w:r>
              <w:rPr>
                <w:b/>
                <w:color w:val="000000"/>
              </w:rPr>
              <w:t>Evaluation criteria</w:t>
            </w:r>
          </w:p>
        </w:tc>
        <w:tc>
          <w:tcPr>
            <w:tcW w:w="7469" w:type="dxa"/>
            <w:tcBorders>
              <w:top w:val="single" w:sz="4" w:space="0" w:color="000001"/>
              <w:bottom w:val="single" w:sz="4" w:space="0" w:color="000001"/>
              <w:insideH w:val="single" w:sz="4" w:space="0" w:color="000001"/>
            </w:tcBorders>
            <w:shd w:fill="auto" w:val="clear"/>
          </w:tcPr>
          <w:p>
            <w:pPr>
              <w:pStyle w:val="Normal"/>
              <w:spacing w:before="240" w:after="240"/>
              <w:rPr>
                <w:color w:val="000000"/>
              </w:rPr>
            </w:pPr>
            <w:r>
              <w:rPr>
                <w:color w:val="000000"/>
              </w:rPr>
              <w:t xml:space="preserve">A committee of SRP members will evaluate applications according to the productivity, innovation, and significance of the research program. No written reviews will be provided to candidates. </w:t>
            </w:r>
          </w:p>
        </w:tc>
      </w:tr>
      <w:tr>
        <w:trPr>
          <w:trHeight w:val="1822" w:hRule="atLeast"/>
        </w:trPr>
        <w:tc>
          <w:tcPr>
            <w:tcW w:w="1908" w:type="dxa"/>
            <w:tcBorders>
              <w:top w:val="single" w:sz="4" w:space="0" w:color="000001"/>
              <w:bottom w:val="single" w:sz="4" w:space="0" w:color="000001"/>
              <w:insideH w:val="single" w:sz="4" w:space="0" w:color="000001"/>
            </w:tcBorders>
            <w:shd w:fill="auto" w:val="clear"/>
          </w:tcPr>
          <w:p>
            <w:pPr>
              <w:pStyle w:val="Normal"/>
              <w:spacing w:before="240" w:after="240"/>
              <w:rPr>
                <w:b/>
                <w:b/>
                <w:color w:val="000000"/>
              </w:rPr>
            </w:pPr>
            <w:r>
              <w:rPr>
                <w:b/>
                <w:color w:val="000000"/>
              </w:rPr>
              <w:t>Important dates</w:t>
            </w:r>
          </w:p>
        </w:tc>
        <w:tc>
          <w:tcPr>
            <w:tcW w:w="7469" w:type="dxa"/>
            <w:tcBorders>
              <w:top w:val="single" w:sz="4" w:space="0" w:color="000001"/>
              <w:bottom w:val="single" w:sz="4" w:space="0" w:color="000001"/>
              <w:insideH w:val="single" w:sz="4" w:space="0" w:color="000001"/>
            </w:tcBorders>
            <w:shd w:fill="auto" w:val="clear"/>
          </w:tcPr>
          <w:p>
            <w:pPr>
              <w:pStyle w:val="Normal"/>
              <w:spacing w:before="240" w:after="240"/>
              <w:rPr/>
            </w:pPr>
            <w:r>
              <w:rPr>
                <w:color w:val="000000"/>
              </w:rPr>
              <w:t xml:space="preserve">Deadline for submission of applications:  April </w:t>
            </w:r>
            <w:r>
              <w:rPr>
                <w:color w:val="000000"/>
              </w:rPr>
              <w:t>14</w:t>
            </w:r>
            <w:r>
              <w:rPr>
                <w:color w:val="000000"/>
              </w:rPr>
              <w:t>, 2018. Notification of awards: June 30, 2018.  The winner will be honored during the award ceremony at the annual meeting. At the discretion of the program chair, the award winner may be asked to present during the scientific program of the annual meeting. The award is announced at the annual meeting of SRP.</w:t>
            </w:r>
          </w:p>
        </w:tc>
      </w:tr>
    </w:tbl>
    <w:p>
      <w:pPr>
        <w:pStyle w:val="Normal"/>
        <w:rPr/>
      </w:pPr>
      <w:r>
        <w:rPr/>
      </w:r>
    </w:p>
    <w:sectPr>
      <w:type w:val="nextPage"/>
      <w:pgSz w:w="12240" w:h="15840"/>
      <w:pgMar w:left="1440" w:right="1440" w:header="0" w:top="810" w:footer="0" w:bottom="1440" w:gutter="0"/>
      <w:pgBorders w:display="allPages" w:offsetFrom="page">
        <w:top w:val="double" w:sz="4" w:space="25" w:color="000001"/>
        <w:left w:val="double" w:sz="4" w:space="25" w:color="000001"/>
        <w:bottom w:val="double" w:sz="4" w:space="25" w:color="000001"/>
        <w:right w:val="double" w:sz="4" w:space="25" w:color="000001"/>
      </w:pgBorders>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Calibri">
    <w:charset w:val="01"/>
    <w:family w:val="roman"/>
    <w:pitch w:val="variable"/>
  </w:font>
  <w:font w:name="Liberation Sans">
    <w:altName w:val="Arial"/>
    <w:charset w:val="01"/>
    <w:family w:val="roman"/>
    <w:pitch w:val="variable"/>
  </w:font>
  <w:font w:name="Tahoma">
    <w:charset w:val="01"/>
    <w:family w:val="roman"/>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sz w:val="24"/>
      <w:szCs w:val="24"/>
      <w:lang w:val="en-US" w:eastAsia="zh-CN" w:bidi="ar-SA"/>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rFonts w:ascii="Calibri" w:hAnsi="Calibri" w:eastAsia="Calibri" w:cs="Calibri"/>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DefaultParagraphFont">
    <w:name w:val="Default Paragraph Font"/>
    <w:qFormat/>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ListLabel1">
    <w:name w:val="ListLabel 1"/>
    <w:qFormat/>
    <w:rPr>
      <w:rFonts w:cs="Calibri"/>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CommentText">
    <w:name w:val="Comment Text"/>
    <w:basedOn w:val="Normal"/>
    <w:qFormat/>
    <w:pPr/>
    <w:rPr>
      <w:sz w:val="20"/>
      <w:szCs w:val="20"/>
    </w:rPr>
  </w:style>
  <w:style w:type="paragraph" w:styleId="CommentSubject">
    <w:name w:val="Comment Subject"/>
    <w:basedOn w:val="CommentText"/>
    <w:qFormat/>
    <w:pPr/>
    <w:rPr>
      <w:b/>
      <w:bCs/>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LibreOffice/5.1.6.2$Linux_X86_64 LibreOffice_project/10m0$Build-2</Application>
  <Pages>2</Pages>
  <Words>348</Words>
  <Characters>2019</Characters>
  <CharactersWithSpaces>2355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2018-03-08T20:57:00Z</dcterms:created>
  <dc:creator>Suzanne King</dc:creator>
  <dc:description/>
  <dc:language>en-US</dc:language>
  <cp:lastModifiedBy/>
  <dcterms:modified xsi:type="dcterms:W3CDTF">2018-04-03T09:35:59Z</dcterms:modified>
  <cp:revision>4</cp:revision>
  <dc:subject/>
  <dc:title>SRP Early Career Award</dc:title>
</cp:coreProperties>
</file>